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3AC3E0" w14:textId="59793D0B" w:rsidR="007E61E5" w:rsidRDefault="007E61E5" w:rsidP="007E61E5">
      <w:pPr>
        <w:rPr>
          <w:b/>
        </w:rPr>
      </w:pPr>
      <w:r>
        <w:rPr>
          <w:b/>
        </w:rPr>
        <w:t xml:space="preserve">Supplementary materials: </w:t>
      </w:r>
    </w:p>
    <w:p w14:paraId="723C4751" w14:textId="0801DD25" w:rsidR="007E61E5" w:rsidRDefault="007E61E5" w:rsidP="007E61E5">
      <w:pPr>
        <w:rPr>
          <w:b/>
        </w:rPr>
      </w:pPr>
      <w:r>
        <w:rPr>
          <w:b/>
        </w:rPr>
        <w:t>Figure 1: Change in SDQ plotted against pre-test FER score</w:t>
      </w:r>
      <w:r w:rsidR="001D6823">
        <w:rPr>
          <w:b/>
        </w:rPr>
        <w:t xml:space="preserve"> for negative and neutral emotion recognition</w:t>
      </w:r>
    </w:p>
    <w:p w14:paraId="0D88F4ED" w14:textId="77777777" w:rsidR="007E61E5" w:rsidRPr="00D308CA" w:rsidRDefault="007E61E5" w:rsidP="007E61E5">
      <w:pPr>
        <w:rPr>
          <w:b/>
        </w:rPr>
      </w:pPr>
      <w:r>
        <w:rPr>
          <w:noProof/>
          <w:lang w:eastAsia="en-GB"/>
        </w:rPr>
        <w:drawing>
          <wp:inline distT="0" distB="0" distL="0" distR="0" wp14:anchorId="5A28DD5F" wp14:editId="6CC164F8">
            <wp:extent cx="4572000" cy="2743200"/>
            <wp:effectExtent l="0" t="0" r="12700" b="1270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028F970" w14:textId="13F521D4" w:rsidR="001A5F87" w:rsidRDefault="005861C8">
      <w:r>
        <w:t>Note: Four BP+ datapoints are overlapping.</w:t>
      </w:r>
    </w:p>
    <w:sectPr w:rsidR="001A5F87" w:rsidSect="00E8647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61E5"/>
    <w:rsid w:val="000B6657"/>
    <w:rsid w:val="000F7D18"/>
    <w:rsid w:val="00163C37"/>
    <w:rsid w:val="001D6823"/>
    <w:rsid w:val="005861C8"/>
    <w:rsid w:val="007E61E5"/>
    <w:rsid w:val="00E86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C032E4"/>
  <w15:chartTrackingRefBased/>
  <w15:docId w15:val="{74ED6C8B-4A0F-9B48-9BD8-31F8E9D44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E5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6823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823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c1211748\Documents\aa%20CURRENT\A.%20MAY\SDQ%20Paper\ECAP\Change%20in%20SDQ%20score%20etc.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GB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scatterChart>
        <c:scatterStyle val="lineMarker"/>
        <c:varyColors val="0"/>
        <c:ser>
          <c:idx val="0"/>
          <c:order val="0"/>
          <c:tx>
            <c:v>BP+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xVal>
            <c:numRef>
              <c:f>Sheet3!$C$2:$C$41</c:f>
              <c:numCache>
                <c:formatCode>General</c:formatCode>
                <c:ptCount val="40"/>
                <c:pt idx="0">
                  <c:v>81.25</c:v>
                </c:pt>
                <c:pt idx="1">
                  <c:v>85.42</c:v>
                </c:pt>
                <c:pt idx="2">
                  <c:v>85.42</c:v>
                </c:pt>
                <c:pt idx="3">
                  <c:v>79.17</c:v>
                </c:pt>
                <c:pt idx="4">
                  <c:v>77.09</c:v>
                </c:pt>
                <c:pt idx="5">
                  <c:v>87.5</c:v>
                </c:pt>
                <c:pt idx="6">
                  <c:v>77.08</c:v>
                </c:pt>
                <c:pt idx="7">
                  <c:v>75</c:v>
                </c:pt>
                <c:pt idx="8">
                  <c:v>81.25</c:v>
                </c:pt>
                <c:pt idx="9">
                  <c:v>39.58</c:v>
                </c:pt>
                <c:pt idx="10">
                  <c:v>81.25</c:v>
                </c:pt>
                <c:pt idx="11">
                  <c:v>58.34</c:v>
                </c:pt>
                <c:pt idx="12">
                  <c:v>79.17</c:v>
                </c:pt>
                <c:pt idx="13">
                  <c:v>83.34</c:v>
                </c:pt>
                <c:pt idx="14">
                  <c:v>87.5</c:v>
                </c:pt>
                <c:pt idx="15">
                  <c:v>75</c:v>
                </c:pt>
                <c:pt idx="16">
                  <c:v>75</c:v>
                </c:pt>
                <c:pt idx="17">
                  <c:v>56.25</c:v>
                </c:pt>
                <c:pt idx="18">
                  <c:v>64.58</c:v>
                </c:pt>
                <c:pt idx="19">
                  <c:v>66.67</c:v>
                </c:pt>
                <c:pt idx="20">
                  <c:v>83.33</c:v>
                </c:pt>
                <c:pt idx="21">
                  <c:v>54.17</c:v>
                </c:pt>
                <c:pt idx="22">
                  <c:v>81.25</c:v>
                </c:pt>
                <c:pt idx="23">
                  <c:v>43.75</c:v>
                </c:pt>
                <c:pt idx="24">
                  <c:v>89.59</c:v>
                </c:pt>
                <c:pt idx="25">
                  <c:v>58.34</c:v>
                </c:pt>
                <c:pt idx="26">
                  <c:v>75</c:v>
                </c:pt>
                <c:pt idx="27">
                  <c:v>83.34</c:v>
                </c:pt>
                <c:pt idx="28">
                  <c:v>83.34</c:v>
                </c:pt>
                <c:pt idx="29">
                  <c:v>75</c:v>
                </c:pt>
                <c:pt idx="30">
                  <c:v>83.33</c:v>
                </c:pt>
                <c:pt idx="31">
                  <c:v>60.42</c:v>
                </c:pt>
                <c:pt idx="32">
                  <c:v>68.75</c:v>
                </c:pt>
                <c:pt idx="33">
                  <c:v>45.83</c:v>
                </c:pt>
                <c:pt idx="34">
                  <c:v>85.42</c:v>
                </c:pt>
                <c:pt idx="35">
                  <c:v>79.17</c:v>
                </c:pt>
                <c:pt idx="36">
                  <c:v>83.34</c:v>
                </c:pt>
                <c:pt idx="37">
                  <c:v>75</c:v>
                </c:pt>
                <c:pt idx="38">
                  <c:v>35.42</c:v>
                </c:pt>
                <c:pt idx="39">
                  <c:v>91.67</c:v>
                </c:pt>
              </c:numCache>
            </c:numRef>
          </c:xVal>
          <c:yVal>
            <c:numRef>
              <c:f>Sheet3!$D$2:$D$41</c:f>
              <c:numCache>
                <c:formatCode>General</c:formatCode>
                <c:ptCount val="40"/>
                <c:pt idx="0">
                  <c:v>-1.5</c:v>
                </c:pt>
                <c:pt idx="1">
                  <c:v>-3</c:v>
                </c:pt>
                <c:pt idx="2">
                  <c:v>-2</c:v>
                </c:pt>
                <c:pt idx="3">
                  <c:v>-6</c:v>
                </c:pt>
                <c:pt idx="4">
                  <c:v>8</c:v>
                </c:pt>
                <c:pt idx="5">
                  <c:v>12</c:v>
                </c:pt>
                <c:pt idx="6">
                  <c:v>17</c:v>
                </c:pt>
                <c:pt idx="7">
                  <c:v>5</c:v>
                </c:pt>
                <c:pt idx="8">
                  <c:v>14</c:v>
                </c:pt>
                <c:pt idx="9">
                  <c:v>5</c:v>
                </c:pt>
                <c:pt idx="10">
                  <c:v>4</c:v>
                </c:pt>
                <c:pt idx="11">
                  <c:v>6</c:v>
                </c:pt>
                <c:pt idx="12">
                  <c:v>-3</c:v>
                </c:pt>
                <c:pt idx="13">
                  <c:v>1</c:v>
                </c:pt>
                <c:pt idx="14">
                  <c:v>1</c:v>
                </c:pt>
                <c:pt idx="15">
                  <c:v>12</c:v>
                </c:pt>
                <c:pt idx="16">
                  <c:v>12</c:v>
                </c:pt>
                <c:pt idx="17">
                  <c:v>-3</c:v>
                </c:pt>
                <c:pt idx="18">
                  <c:v>-1</c:v>
                </c:pt>
                <c:pt idx="19">
                  <c:v>12</c:v>
                </c:pt>
                <c:pt idx="20">
                  <c:v>-3</c:v>
                </c:pt>
                <c:pt idx="21">
                  <c:v>3</c:v>
                </c:pt>
                <c:pt idx="22">
                  <c:v>-7</c:v>
                </c:pt>
                <c:pt idx="23">
                  <c:v>0</c:v>
                </c:pt>
                <c:pt idx="24">
                  <c:v>1</c:v>
                </c:pt>
                <c:pt idx="25">
                  <c:v>6</c:v>
                </c:pt>
                <c:pt idx="26">
                  <c:v>0.5</c:v>
                </c:pt>
                <c:pt idx="27">
                  <c:v>3</c:v>
                </c:pt>
                <c:pt idx="28">
                  <c:v>8</c:v>
                </c:pt>
                <c:pt idx="29">
                  <c:v>-8</c:v>
                </c:pt>
                <c:pt idx="30">
                  <c:v>8</c:v>
                </c:pt>
                <c:pt idx="31">
                  <c:v>15</c:v>
                </c:pt>
                <c:pt idx="32">
                  <c:v>-9</c:v>
                </c:pt>
                <c:pt idx="33">
                  <c:v>-15</c:v>
                </c:pt>
                <c:pt idx="34">
                  <c:v>6</c:v>
                </c:pt>
                <c:pt idx="35">
                  <c:v>14</c:v>
                </c:pt>
                <c:pt idx="36">
                  <c:v>3</c:v>
                </c:pt>
                <c:pt idx="37">
                  <c:v>8.5</c:v>
                </c:pt>
                <c:pt idx="38">
                  <c:v>15</c:v>
                </c:pt>
                <c:pt idx="39">
                  <c:v>-2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0-6E09-BA45-A8C9-D94FC64B147E}"/>
            </c:ext>
          </c:extLst>
        </c:ser>
        <c:ser>
          <c:idx val="1"/>
          <c:order val="1"/>
          <c:tx>
            <c:v>BP-</c:v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noFill/>
              </a:ln>
              <a:effectLst/>
            </c:spPr>
          </c:marker>
          <c:xVal>
            <c:numRef>
              <c:f>Sheet3!$C$42:$C$63</c:f>
              <c:numCache>
                <c:formatCode>General</c:formatCode>
                <c:ptCount val="22"/>
                <c:pt idx="0">
                  <c:v>89.58</c:v>
                </c:pt>
                <c:pt idx="1">
                  <c:v>87.5</c:v>
                </c:pt>
                <c:pt idx="2">
                  <c:v>91.67</c:v>
                </c:pt>
                <c:pt idx="3">
                  <c:v>81.25</c:v>
                </c:pt>
                <c:pt idx="4">
                  <c:v>89.59</c:v>
                </c:pt>
                <c:pt idx="5">
                  <c:v>89.59</c:v>
                </c:pt>
                <c:pt idx="6">
                  <c:v>91.67</c:v>
                </c:pt>
                <c:pt idx="7">
                  <c:v>87.5</c:v>
                </c:pt>
                <c:pt idx="8">
                  <c:v>89.59</c:v>
                </c:pt>
                <c:pt idx="9" formatCode="0.00">
                  <c:v>89.583333333333343</c:v>
                </c:pt>
                <c:pt idx="10">
                  <c:v>91.67</c:v>
                </c:pt>
                <c:pt idx="11">
                  <c:v>89.59</c:v>
                </c:pt>
                <c:pt idx="12">
                  <c:v>95.84</c:v>
                </c:pt>
                <c:pt idx="13">
                  <c:v>91.67</c:v>
                </c:pt>
                <c:pt idx="14">
                  <c:v>93.75</c:v>
                </c:pt>
                <c:pt idx="15">
                  <c:v>93.75</c:v>
                </c:pt>
                <c:pt idx="16">
                  <c:v>93.75</c:v>
                </c:pt>
                <c:pt idx="17">
                  <c:v>91.67</c:v>
                </c:pt>
                <c:pt idx="18">
                  <c:v>87.5</c:v>
                </c:pt>
                <c:pt idx="19">
                  <c:v>70.84</c:v>
                </c:pt>
                <c:pt idx="20">
                  <c:v>89.58</c:v>
                </c:pt>
                <c:pt idx="21">
                  <c:v>87.5</c:v>
                </c:pt>
              </c:numCache>
            </c:numRef>
          </c:xVal>
          <c:yVal>
            <c:numRef>
              <c:f>Sheet3!$D$42:$D$63</c:f>
              <c:numCache>
                <c:formatCode>General</c:formatCode>
                <c:ptCount val="22"/>
                <c:pt idx="0">
                  <c:v>-3</c:v>
                </c:pt>
                <c:pt idx="1">
                  <c:v>-4</c:v>
                </c:pt>
                <c:pt idx="2">
                  <c:v>1</c:v>
                </c:pt>
                <c:pt idx="3">
                  <c:v>14</c:v>
                </c:pt>
                <c:pt idx="4">
                  <c:v>7</c:v>
                </c:pt>
                <c:pt idx="5">
                  <c:v>0</c:v>
                </c:pt>
                <c:pt idx="6">
                  <c:v>0</c:v>
                </c:pt>
                <c:pt idx="7">
                  <c:v>2</c:v>
                </c:pt>
                <c:pt idx="8">
                  <c:v>-4</c:v>
                </c:pt>
                <c:pt idx="9">
                  <c:v>4</c:v>
                </c:pt>
                <c:pt idx="10">
                  <c:v>-9</c:v>
                </c:pt>
                <c:pt idx="11">
                  <c:v>8</c:v>
                </c:pt>
                <c:pt idx="12">
                  <c:v>2</c:v>
                </c:pt>
                <c:pt idx="13">
                  <c:v>16</c:v>
                </c:pt>
                <c:pt idx="14">
                  <c:v>5</c:v>
                </c:pt>
                <c:pt idx="15">
                  <c:v>-13</c:v>
                </c:pt>
                <c:pt idx="16">
                  <c:v>-3</c:v>
                </c:pt>
                <c:pt idx="17">
                  <c:v>-4</c:v>
                </c:pt>
                <c:pt idx="18">
                  <c:v>3</c:v>
                </c:pt>
                <c:pt idx="19">
                  <c:v>11</c:v>
                </c:pt>
                <c:pt idx="20">
                  <c:v>2</c:v>
                </c:pt>
                <c:pt idx="21">
                  <c:v>17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E09-BA45-A8C9-D94FC64B147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674847192"/>
        <c:axId val="674846800"/>
      </c:scatterChart>
      <c:valAx>
        <c:axId val="674847192"/>
        <c:scaling>
          <c:orientation val="minMax"/>
          <c:max val="100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Pre-test</a:t>
                </a:r>
                <a:r>
                  <a:rPr lang="en-GB" baseline="0"/>
                  <a:t> negative and neutral emotion recognition scores</a:t>
                </a:r>
                <a:endParaRPr lang="en-GB"/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4846800"/>
        <c:crosses val="autoZero"/>
        <c:crossBetween val="midCat"/>
      </c:valAx>
      <c:valAx>
        <c:axId val="674846800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GB"/>
                  <a:t>Change in SDDQ score</a:t>
                </a:r>
              </a:p>
            </c:rich>
          </c:tx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+mn-lt"/>
                  <a:ea typeface="+mn-ea"/>
                  <a:cs typeface="+mn-cs"/>
                </a:defRPr>
              </a:pPr>
              <a:endParaRPr lang="en-US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74847192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149</Characters>
  <Application>Microsoft Office Word</Application>
  <DocSecurity>0</DocSecurity>
  <Lines>1</Lines>
  <Paragraphs>1</Paragraphs>
  <ScaleCrop>false</ScaleCrop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2020-05-31T09:15:00Z</dcterms:created>
  <dcterms:modified xsi:type="dcterms:W3CDTF">2020-05-31T09:15:00Z</dcterms:modified>
</cp:coreProperties>
</file>